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A1A" w:rsidRPr="00186A1A" w:rsidRDefault="00186A1A" w:rsidP="00186A1A">
      <w:pPr>
        <w:spacing w:after="100" w:afterAutospacing="1" w:line="360" w:lineRule="atLeast"/>
        <w:textAlignment w:val="top"/>
        <w:outlineLvl w:val="0"/>
        <w:rPr>
          <w:rFonts w:ascii="Trebuchet MS" w:eastAsia="Times New Roman" w:hAnsi="Trebuchet MS" w:cs="Times New Roman"/>
          <w:color w:val="999966"/>
          <w:kern w:val="36"/>
          <w:sz w:val="36"/>
          <w:szCs w:val="36"/>
        </w:rPr>
      </w:pPr>
      <w:r w:rsidRPr="00186A1A">
        <w:rPr>
          <w:rFonts w:ascii="Trebuchet MS" w:eastAsia="Times New Roman" w:hAnsi="Trebuchet MS" w:cs="Times New Roman"/>
          <w:color w:val="999966"/>
          <w:kern w:val="36"/>
          <w:sz w:val="36"/>
          <w:szCs w:val="36"/>
        </w:rPr>
        <w:t>Statistics Tutorial: Cluster Sampling</w:t>
      </w:r>
    </w:p>
    <w:p w:rsidR="00186A1A" w:rsidRPr="00186A1A" w:rsidRDefault="00186A1A" w:rsidP="00186A1A">
      <w:pPr>
        <w:spacing w:before="100" w:beforeAutospacing="1" w:after="100" w:afterAutospacing="1" w:line="360" w:lineRule="atLeast"/>
        <w:textAlignment w:val="top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186A1A">
        <w:rPr>
          <w:rFonts w:ascii="Trebuchet MS" w:eastAsia="Times New Roman" w:hAnsi="Trebuchet MS" w:cs="Times New Roman"/>
          <w:b/>
          <w:bCs/>
          <w:color w:val="333333"/>
          <w:sz w:val="20"/>
        </w:rPr>
        <w:t>Cluster sampling</w:t>
      </w: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refers to a sampling method that has the following properties. </w:t>
      </w:r>
    </w:p>
    <w:p w:rsidR="00186A1A" w:rsidRPr="00186A1A" w:rsidRDefault="00186A1A" w:rsidP="00186A1A">
      <w:pPr>
        <w:numPr>
          <w:ilvl w:val="0"/>
          <w:numId w:val="1"/>
        </w:numPr>
        <w:spacing w:before="100" w:beforeAutospacing="1" w:after="100" w:afterAutospacing="1" w:line="480" w:lineRule="atLeast"/>
        <w:textAlignment w:val="top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The population is divided into </w:t>
      </w:r>
      <w:r w:rsidRPr="00186A1A">
        <w:rPr>
          <w:rFonts w:ascii="Trebuchet MS" w:eastAsia="Times New Roman" w:hAnsi="Trebuchet MS" w:cs="Times New Roman"/>
          <w:i/>
          <w:iCs/>
          <w:color w:val="333333"/>
          <w:sz w:val="20"/>
          <w:szCs w:val="20"/>
        </w:rPr>
        <w:t>N</w:t>
      </w: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groups, called </w:t>
      </w:r>
      <w:r w:rsidRPr="00186A1A">
        <w:rPr>
          <w:rFonts w:ascii="Trebuchet MS" w:eastAsia="Times New Roman" w:hAnsi="Trebuchet MS" w:cs="Times New Roman"/>
          <w:b/>
          <w:bCs/>
          <w:color w:val="333333"/>
          <w:sz w:val="20"/>
        </w:rPr>
        <w:t>clusters</w:t>
      </w: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. </w:t>
      </w:r>
    </w:p>
    <w:p w:rsidR="00186A1A" w:rsidRPr="00186A1A" w:rsidRDefault="00186A1A" w:rsidP="00186A1A">
      <w:pPr>
        <w:numPr>
          <w:ilvl w:val="0"/>
          <w:numId w:val="1"/>
        </w:numPr>
        <w:spacing w:before="100" w:beforeAutospacing="1" w:after="100" w:afterAutospacing="1" w:line="480" w:lineRule="atLeast"/>
        <w:textAlignment w:val="top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The researcher randomly selects </w:t>
      </w:r>
      <w:r w:rsidRPr="00186A1A">
        <w:rPr>
          <w:rFonts w:ascii="Trebuchet MS" w:eastAsia="Times New Roman" w:hAnsi="Trebuchet MS" w:cs="Times New Roman"/>
          <w:i/>
          <w:iCs/>
          <w:color w:val="333333"/>
          <w:sz w:val="20"/>
          <w:szCs w:val="20"/>
        </w:rPr>
        <w:t>n</w:t>
      </w: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clusters to include in the sample. </w:t>
      </w:r>
    </w:p>
    <w:p w:rsidR="00186A1A" w:rsidRPr="00186A1A" w:rsidRDefault="00186A1A" w:rsidP="00186A1A">
      <w:pPr>
        <w:numPr>
          <w:ilvl w:val="0"/>
          <w:numId w:val="1"/>
        </w:numPr>
        <w:spacing w:before="100" w:beforeAutospacing="1" w:after="100" w:afterAutospacing="1" w:line="480" w:lineRule="atLeast"/>
        <w:textAlignment w:val="top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The number of observations within each cluster </w:t>
      </w:r>
      <w:r w:rsidRPr="00186A1A">
        <w:rPr>
          <w:rFonts w:ascii="Trebuchet MS" w:eastAsia="Times New Roman" w:hAnsi="Trebuchet MS" w:cs="Times New Roman"/>
          <w:i/>
          <w:iCs/>
          <w:color w:val="333333"/>
          <w:sz w:val="20"/>
          <w:szCs w:val="20"/>
        </w:rPr>
        <w:t>M</w:t>
      </w:r>
      <w:r w:rsidRPr="00186A1A">
        <w:rPr>
          <w:rFonts w:ascii="Trebuchet MS" w:eastAsia="Times New Roman" w:hAnsi="Trebuchet MS" w:cs="Times New Roman"/>
          <w:i/>
          <w:iCs/>
          <w:color w:val="333333"/>
          <w:sz w:val="20"/>
          <w:szCs w:val="20"/>
          <w:vertAlign w:val="subscript"/>
        </w:rPr>
        <w:t>i</w:t>
      </w: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is known, and M = M</w:t>
      </w:r>
      <w:r w:rsidRPr="00186A1A">
        <w:rPr>
          <w:rFonts w:ascii="Trebuchet MS" w:eastAsia="Times New Roman" w:hAnsi="Trebuchet MS" w:cs="Times New Roman"/>
          <w:color w:val="333333"/>
          <w:sz w:val="20"/>
          <w:szCs w:val="20"/>
          <w:vertAlign w:val="subscript"/>
        </w:rPr>
        <w:t>1</w:t>
      </w: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+ M</w:t>
      </w:r>
      <w:r w:rsidRPr="00186A1A">
        <w:rPr>
          <w:rFonts w:ascii="Trebuchet MS" w:eastAsia="Times New Roman" w:hAnsi="Trebuchet MS" w:cs="Times New Roman"/>
          <w:color w:val="333333"/>
          <w:sz w:val="20"/>
          <w:szCs w:val="20"/>
          <w:vertAlign w:val="subscript"/>
        </w:rPr>
        <w:t>2</w:t>
      </w: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+ M</w:t>
      </w:r>
      <w:r w:rsidRPr="00186A1A">
        <w:rPr>
          <w:rFonts w:ascii="Trebuchet MS" w:eastAsia="Times New Roman" w:hAnsi="Trebuchet MS" w:cs="Times New Roman"/>
          <w:color w:val="333333"/>
          <w:sz w:val="20"/>
          <w:szCs w:val="20"/>
          <w:vertAlign w:val="subscript"/>
        </w:rPr>
        <w:t>3</w:t>
      </w: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+ ... + M</w:t>
      </w:r>
      <w:r w:rsidRPr="00186A1A">
        <w:rPr>
          <w:rFonts w:ascii="Trebuchet MS" w:eastAsia="Times New Roman" w:hAnsi="Trebuchet MS" w:cs="Times New Roman"/>
          <w:color w:val="333333"/>
          <w:sz w:val="20"/>
          <w:szCs w:val="20"/>
          <w:vertAlign w:val="subscript"/>
        </w:rPr>
        <w:t>N-1</w:t>
      </w: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+ M</w:t>
      </w:r>
      <w:r w:rsidRPr="00186A1A">
        <w:rPr>
          <w:rFonts w:ascii="Trebuchet MS" w:eastAsia="Times New Roman" w:hAnsi="Trebuchet MS" w:cs="Times New Roman"/>
          <w:color w:val="333333"/>
          <w:sz w:val="20"/>
          <w:szCs w:val="20"/>
          <w:vertAlign w:val="subscript"/>
        </w:rPr>
        <w:t>N</w:t>
      </w: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. </w:t>
      </w:r>
    </w:p>
    <w:p w:rsidR="00186A1A" w:rsidRPr="00186A1A" w:rsidRDefault="00186A1A" w:rsidP="00186A1A">
      <w:pPr>
        <w:numPr>
          <w:ilvl w:val="0"/>
          <w:numId w:val="1"/>
        </w:numPr>
        <w:spacing w:before="100" w:beforeAutospacing="1" w:after="100" w:afterAutospacing="1" w:line="480" w:lineRule="atLeast"/>
        <w:textAlignment w:val="top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Each element of the population can be assigned to one, and only one, cluster. </w:t>
      </w:r>
    </w:p>
    <w:p w:rsidR="00186A1A" w:rsidRPr="00186A1A" w:rsidRDefault="00186A1A" w:rsidP="00186A1A">
      <w:pPr>
        <w:spacing w:before="100" w:beforeAutospacing="1" w:after="100" w:afterAutospacing="1" w:line="360" w:lineRule="atLeast"/>
        <w:textAlignment w:val="top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This tutorial covers two types of cluster sampling methods. </w:t>
      </w:r>
    </w:p>
    <w:p w:rsidR="00186A1A" w:rsidRPr="00186A1A" w:rsidRDefault="00186A1A" w:rsidP="00186A1A">
      <w:pPr>
        <w:numPr>
          <w:ilvl w:val="0"/>
          <w:numId w:val="2"/>
        </w:numPr>
        <w:spacing w:before="100" w:beforeAutospacing="1" w:after="100" w:afterAutospacing="1" w:line="480" w:lineRule="atLeast"/>
        <w:textAlignment w:val="top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186A1A">
        <w:rPr>
          <w:rFonts w:ascii="Trebuchet MS" w:eastAsia="Times New Roman" w:hAnsi="Trebuchet MS" w:cs="Times New Roman"/>
          <w:b/>
          <w:bCs/>
          <w:color w:val="333333"/>
          <w:sz w:val="20"/>
        </w:rPr>
        <w:t>One-stage sampling</w:t>
      </w: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. All of the elements within selected clusters are included in the sample. </w:t>
      </w:r>
    </w:p>
    <w:p w:rsidR="00186A1A" w:rsidRPr="00186A1A" w:rsidRDefault="00186A1A" w:rsidP="00186A1A">
      <w:pPr>
        <w:numPr>
          <w:ilvl w:val="0"/>
          <w:numId w:val="2"/>
        </w:numPr>
        <w:spacing w:before="100" w:beforeAutospacing="1" w:after="100" w:afterAutospacing="1" w:line="480" w:lineRule="atLeast"/>
        <w:textAlignment w:val="top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186A1A">
        <w:rPr>
          <w:rFonts w:ascii="Trebuchet MS" w:eastAsia="Times New Roman" w:hAnsi="Trebuchet MS" w:cs="Times New Roman"/>
          <w:b/>
          <w:bCs/>
          <w:color w:val="333333"/>
          <w:sz w:val="20"/>
        </w:rPr>
        <w:t>Two-stage sampling</w:t>
      </w: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. A subset of elements within selected clusters are randomly selected for inclusion in the sample. </w:t>
      </w:r>
    </w:p>
    <w:p w:rsidR="00186A1A" w:rsidRPr="00186A1A" w:rsidRDefault="00186A1A" w:rsidP="00186A1A">
      <w:pPr>
        <w:spacing w:before="300" w:after="0" w:line="360" w:lineRule="atLeast"/>
        <w:textAlignment w:val="top"/>
        <w:outlineLvl w:val="1"/>
        <w:rPr>
          <w:rFonts w:ascii="Trebuchet MS" w:eastAsia="Times New Roman" w:hAnsi="Trebuchet MS" w:cs="Times New Roman"/>
          <w:color w:val="990000"/>
        </w:rPr>
      </w:pPr>
      <w:r w:rsidRPr="00186A1A">
        <w:rPr>
          <w:rFonts w:ascii="Trebuchet MS" w:eastAsia="Times New Roman" w:hAnsi="Trebuchet MS" w:cs="Times New Roman"/>
          <w:color w:val="990000"/>
        </w:rPr>
        <w:t>Cluster Sampling: Advantages and Disadvantages</w:t>
      </w:r>
    </w:p>
    <w:p w:rsidR="00186A1A" w:rsidRPr="00186A1A" w:rsidRDefault="00186A1A" w:rsidP="00186A1A">
      <w:pPr>
        <w:spacing w:before="100" w:beforeAutospacing="1" w:after="100" w:afterAutospacing="1" w:line="360" w:lineRule="atLeast"/>
        <w:textAlignment w:val="top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Assuming the sample size is constant across sampling methods, cluster sampling generally provides less </w:t>
      </w:r>
      <w:hyperlink r:id="rId5" w:history="1">
        <w:r w:rsidRPr="00186A1A">
          <w:rPr>
            <w:rFonts w:ascii="Trebuchet MS" w:eastAsia="Times New Roman" w:hAnsi="Trebuchet MS" w:cs="Times New Roman"/>
            <w:color w:val="3333FF"/>
            <w:sz w:val="20"/>
          </w:rPr>
          <w:t>precision</w:t>
        </w:r>
      </w:hyperlink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than either </w:t>
      </w:r>
      <w:hyperlink r:id="rId6" w:history="1">
        <w:r w:rsidRPr="00186A1A">
          <w:rPr>
            <w:rFonts w:ascii="Trebuchet MS" w:eastAsia="Times New Roman" w:hAnsi="Trebuchet MS" w:cs="Times New Roman"/>
            <w:color w:val="3333FF"/>
            <w:sz w:val="20"/>
          </w:rPr>
          <w:t>simple random sampling</w:t>
        </w:r>
      </w:hyperlink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or </w:t>
      </w:r>
      <w:hyperlink r:id="rId7" w:history="1">
        <w:r w:rsidRPr="00186A1A">
          <w:rPr>
            <w:rFonts w:ascii="Trebuchet MS" w:eastAsia="Times New Roman" w:hAnsi="Trebuchet MS" w:cs="Times New Roman"/>
            <w:color w:val="3333FF"/>
            <w:sz w:val="20"/>
          </w:rPr>
          <w:t>stratified sampling</w:t>
        </w:r>
      </w:hyperlink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. This is the main disadvantage of cluster sampling. </w:t>
      </w:r>
    </w:p>
    <w:p w:rsidR="00186A1A" w:rsidRPr="00186A1A" w:rsidRDefault="00186A1A" w:rsidP="00186A1A">
      <w:pPr>
        <w:spacing w:before="100" w:beforeAutospacing="1" w:after="100" w:afterAutospacing="1" w:line="360" w:lineRule="atLeast"/>
        <w:textAlignment w:val="top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Given this disadvantage, it is natural to ask: Why use cluster sampling? Sometimes, the cost per sample point is less for cluster sampling than for other sampling methods. Given a fixed budget, the researcher may be able to use a bigger sample with cluster sampling than with the other methods. When the increased sample size is sufficient to offset the loss in precision, cluster sampling may be the best choice. </w:t>
      </w:r>
    </w:p>
    <w:p w:rsidR="00186A1A" w:rsidRPr="00186A1A" w:rsidRDefault="00186A1A" w:rsidP="00186A1A">
      <w:pPr>
        <w:spacing w:before="300" w:after="0" w:line="360" w:lineRule="atLeast"/>
        <w:textAlignment w:val="top"/>
        <w:outlineLvl w:val="1"/>
        <w:rPr>
          <w:rFonts w:ascii="Trebuchet MS" w:eastAsia="Times New Roman" w:hAnsi="Trebuchet MS" w:cs="Times New Roman"/>
          <w:color w:val="990000"/>
        </w:rPr>
      </w:pPr>
      <w:r w:rsidRPr="00186A1A">
        <w:rPr>
          <w:rFonts w:ascii="Trebuchet MS" w:eastAsia="Times New Roman" w:hAnsi="Trebuchet MS" w:cs="Times New Roman"/>
          <w:color w:val="990000"/>
        </w:rPr>
        <w:t>When to Use Cluster Sampling</w:t>
      </w:r>
    </w:p>
    <w:p w:rsidR="00186A1A" w:rsidRPr="00186A1A" w:rsidRDefault="00186A1A" w:rsidP="00186A1A">
      <w:pPr>
        <w:spacing w:before="100" w:beforeAutospacing="1" w:after="100" w:afterAutospacing="1" w:line="360" w:lineRule="atLeast"/>
        <w:textAlignment w:val="top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Cluster sampling should be used only when it is economically justified - when reduced costs can be used to overcome losses in precision. This is most likely to occur in the following situations. </w:t>
      </w:r>
    </w:p>
    <w:p w:rsidR="00186A1A" w:rsidRPr="00186A1A" w:rsidRDefault="00186A1A" w:rsidP="00186A1A">
      <w:pPr>
        <w:numPr>
          <w:ilvl w:val="0"/>
          <w:numId w:val="3"/>
        </w:numPr>
        <w:spacing w:before="100" w:beforeAutospacing="1" w:after="240" w:line="360" w:lineRule="atLeast"/>
        <w:textAlignment w:val="top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Constructing a complete list of population elements is difficult, costly, or impossible. For example, it may not be possible to list all of the customers of a chain of hardware stores. </w:t>
      </w: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lastRenderedPageBreak/>
        <w:t xml:space="preserve">However, it would be possible to randomly select a subset of stores (stage 1 of cluster sampling) and then interview a random sample of customers who visit those stores (stage 2 of cluster sampling). </w:t>
      </w:r>
    </w:p>
    <w:p w:rsidR="00186A1A" w:rsidRPr="00186A1A" w:rsidRDefault="00186A1A" w:rsidP="00186A1A">
      <w:pPr>
        <w:numPr>
          <w:ilvl w:val="0"/>
          <w:numId w:val="3"/>
        </w:numPr>
        <w:spacing w:before="100" w:beforeAutospacing="1" w:after="100" w:afterAutospacing="1" w:line="360" w:lineRule="atLeast"/>
        <w:textAlignment w:val="top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The population is concentrated in "natural" clusters (city blocks, schools, hospitals, etc.). For example, to conduct personal interviews of operating room nurses, it might make sense to randomly select a sample of hospitals (stage 1 of cluster sampling) and then interview all of the operating room nurses at that hospital. Using cluster sampling, the interviewer could conduct many interviews in a single day at a single hospital. Simple random sampling, in contrast, might require the interviewer to spend all day traveling to conduct a single interview at a single hospital. </w:t>
      </w:r>
    </w:p>
    <w:p w:rsidR="00186A1A" w:rsidRPr="00186A1A" w:rsidRDefault="00186A1A" w:rsidP="00EE48FA">
      <w:pPr>
        <w:spacing w:before="100" w:beforeAutospacing="1" w:after="100" w:afterAutospacing="1" w:line="360" w:lineRule="atLeast"/>
        <w:textAlignment w:val="top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Even when the above situations exist, it is often unclear which sampling method should be used. Test different options, using hypothetical data if necessary. Choose the most cost-effective approach; that is, choose the sampling method that delivers the greatest precision for the least cost. </w:t>
      </w:r>
    </w:p>
    <w:p w:rsidR="00186A1A" w:rsidRPr="00EE48FA" w:rsidRDefault="00186A1A" w:rsidP="00186A1A">
      <w:pPr>
        <w:spacing w:before="300" w:after="0" w:line="360" w:lineRule="atLeast"/>
        <w:textAlignment w:val="top"/>
        <w:outlineLvl w:val="1"/>
        <w:rPr>
          <w:rFonts w:ascii="Trebuchet MS" w:eastAsia="Times New Roman" w:hAnsi="Trebuchet MS" w:cs="Times New Roman"/>
          <w:b/>
          <w:color w:val="990000"/>
        </w:rPr>
      </w:pPr>
      <w:r w:rsidRPr="00EE48FA">
        <w:rPr>
          <w:rFonts w:ascii="Trebuchet MS" w:eastAsia="Times New Roman" w:hAnsi="Trebuchet MS" w:cs="Times New Roman"/>
          <w:b/>
          <w:color w:val="990000"/>
        </w:rPr>
        <w:t xml:space="preserve">The Difference </w:t>
      </w:r>
      <w:proofErr w:type="gramStart"/>
      <w:r w:rsidRPr="00EE48FA">
        <w:rPr>
          <w:rFonts w:ascii="Trebuchet MS" w:eastAsia="Times New Roman" w:hAnsi="Trebuchet MS" w:cs="Times New Roman"/>
          <w:b/>
          <w:color w:val="990000"/>
        </w:rPr>
        <w:t>Between</w:t>
      </w:r>
      <w:proofErr w:type="gramEnd"/>
      <w:r w:rsidRPr="00EE48FA">
        <w:rPr>
          <w:rFonts w:ascii="Trebuchet MS" w:eastAsia="Times New Roman" w:hAnsi="Trebuchet MS" w:cs="Times New Roman"/>
          <w:b/>
          <w:color w:val="990000"/>
        </w:rPr>
        <w:t xml:space="preserve"> Strata and Clusters</w:t>
      </w:r>
    </w:p>
    <w:p w:rsidR="00186A1A" w:rsidRPr="00186A1A" w:rsidRDefault="00186A1A" w:rsidP="00186A1A">
      <w:pPr>
        <w:spacing w:before="100" w:beforeAutospacing="1" w:after="100" w:afterAutospacing="1" w:line="360" w:lineRule="atLeast"/>
        <w:textAlignment w:val="top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Although </w:t>
      </w:r>
      <w:hyperlink r:id="rId8" w:history="1">
        <w:r w:rsidRPr="00186A1A">
          <w:rPr>
            <w:rFonts w:ascii="Trebuchet MS" w:eastAsia="Times New Roman" w:hAnsi="Trebuchet MS" w:cs="Times New Roman"/>
            <w:color w:val="3333FF"/>
            <w:sz w:val="20"/>
          </w:rPr>
          <w:t>strata</w:t>
        </w:r>
      </w:hyperlink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and clusters are both non-overlapping subsets of the population, they differ in several ways. </w:t>
      </w:r>
    </w:p>
    <w:p w:rsidR="00186A1A" w:rsidRPr="00186A1A" w:rsidRDefault="00186A1A" w:rsidP="00186A1A">
      <w:pPr>
        <w:numPr>
          <w:ilvl w:val="0"/>
          <w:numId w:val="4"/>
        </w:numPr>
        <w:spacing w:before="100" w:beforeAutospacing="1" w:after="240" w:line="360" w:lineRule="atLeast"/>
        <w:textAlignment w:val="top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All strata are represented in the sample; but only a subset of clusters are in the sample. </w:t>
      </w:r>
    </w:p>
    <w:p w:rsidR="00186A1A" w:rsidRPr="00186A1A" w:rsidRDefault="00186A1A" w:rsidP="00186A1A">
      <w:pPr>
        <w:numPr>
          <w:ilvl w:val="0"/>
          <w:numId w:val="4"/>
        </w:numPr>
        <w:spacing w:before="100" w:beforeAutospacing="1" w:after="100" w:afterAutospacing="1" w:line="360" w:lineRule="atLeast"/>
        <w:textAlignment w:val="top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With stratified sampling, the best survey results occur when elements within strata are internally </w:t>
      </w:r>
      <w:hyperlink r:id="rId9" w:history="1">
        <w:r w:rsidRPr="00186A1A">
          <w:rPr>
            <w:rFonts w:ascii="Trebuchet MS" w:eastAsia="Times New Roman" w:hAnsi="Trebuchet MS" w:cs="Times New Roman"/>
            <w:color w:val="3333FF"/>
            <w:sz w:val="20"/>
          </w:rPr>
          <w:t>homogeneous</w:t>
        </w:r>
      </w:hyperlink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. However, with cluster sampling, the best results occur when elements within clusters are internally </w:t>
      </w:r>
      <w:hyperlink r:id="rId10" w:history="1">
        <w:r w:rsidRPr="00186A1A">
          <w:rPr>
            <w:rFonts w:ascii="Trebuchet MS" w:eastAsia="Times New Roman" w:hAnsi="Trebuchet MS" w:cs="Times New Roman"/>
            <w:color w:val="3333FF"/>
            <w:sz w:val="20"/>
          </w:rPr>
          <w:t>heterogeneous</w:t>
        </w:r>
      </w:hyperlink>
      <w:r w:rsidRPr="00186A1A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. </w:t>
      </w:r>
      <w:bookmarkStart w:id="0" w:name="_GoBack"/>
      <w:bookmarkEnd w:id="0"/>
    </w:p>
    <w:sectPr w:rsidR="00186A1A" w:rsidRPr="00186A1A" w:rsidSect="00CA08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E40E0"/>
    <w:multiLevelType w:val="multilevel"/>
    <w:tmpl w:val="13C26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8308CB"/>
    <w:multiLevelType w:val="multilevel"/>
    <w:tmpl w:val="E9168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A103E1"/>
    <w:multiLevelType w:val="multilevel"/>
    <w:tmpl w:val="FABA6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131FF"/>
    <w:multiLevelType w:val="multilevel"/>
    <w:tmpl w:val="61EE7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D64AB2"/>
    <w:multiLevelType w:val="multilevel"/>
    <w:tmpl w:val="85C69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CD47C4"/>
    <w:multiLevelType w:val="multilevel"/>
    <w:tmpl w:val="D944A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767F9E"/>
    <w:multiLevelType w:val="multilevel"/>
    <w:tmpl w:val="64B86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91574D"/>
    <w:multiLevelType w:val="multilevel"/>
    <w:tmpl w:val="E4CE4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C3464B"/>
    <w:multiLevelType w:val="multilevel"/>
    <w:tmpl w:val="D25A6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6C7BD9"/>
    <w:multiLevelType w:val="multilevel"/>
    <w:tmpl w:val="33164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7917A5A"/>
    <w:multiLevelType w:val="multilevel"/>
    <w:tmpl w:val="39E0B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0A49F5"/>
    <w:multiLevelType w:val="multilevel"/>
    <w:tmpl w:val="24A88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5806F2"/>
    <w:multiLevelType w:val="multilevel"/>
    <w:tmpl w:val="5B3C6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98C47AF"/>
    <w:multiLevelType w:val="multilevel"/>
    <w:tmpl w:val="70140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bullet"/>
        <w:lvlText w:val="o"/>
        <w:lvlJc w:val="left"/>
        <w:pPr>
          <w:tabs>
            <w:tab w:val="num" w:pos="2160"/>
          </w:tabs>
          <w:ind w:left="216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0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2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9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bullet"/>
        <w:lvlText w:val="o"/>
        <w:lvlJc w:val="left"/>
        <w:pPr>
          <w:tabs>
            <w:tab w:val="num" w:pos="2160"/>
          </w:tabs>
          <w:ind w:left="216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A1A"/>
    <w:rsid w:val="00147227"/>
    <w:rsid w:val="00186A1A"/>
    <w:rsid w:val="0029645E"/>
    <w:rsid w:val="005350A3"/>
    <w:rsid w:val="007C3CCB"/>
    <w:rsid w:val="00A14CED"/>
    <w:rsid w:val="00A26C0F"/>
    <w:rsid w:val="00CA082D"/>
    <w:rsid w:val="00CC704A"/>
    <w:rsid w:val="00EE48FA"/>
    <w:rsid w:val="00F8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E8F72F-945D-44DE-8947-797ACC118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82D"/>
  </w:style>
  <w:style w:type="paragraph" w:styleId="Heading1">
    <w:name w:val="heading 1"/>
    <w:basedOn w:val="Normal"/>
    <w:link w:val="Heading1Char"/>
    <w:uiPriority w:val="9"/>
    <w:qFormat/>
    <w:rsid w:val="00186A1A"/>
    <w:pPr>
      <w:spacing w:after="100" w:afterAutospacing="1" w:line="240" w:lineRule="auto"/>
      <w:outlineLvl w:val="0"/>
    </w:pPr>
    <w:rPr>
      <w:rFonts w:ascii="Trebuchet MS" w:eastAsia="Times New Roman" w:hAnsi="Trebuchet MS" w:cs="Times New Roman"/>
      <w:color w:val="999966"/>
      <w:kern w:val="36"/>
      <w:sz w:val="36"/>
      <w:szCs w:val="36"/>
    </w:rPr>
  </w:style>
  <w:style w:type="paragraph" w:styleId="Heading2">
    <w:name w:val="heading 2"/>
    <w:basedOn w:val="Normal"/>
    <w:link w:val="Heading2Char"/>
    <w:uiPriority w:val="9"/>
    <w:qFormat/>
    <w:rsid w:val="00186A1A"/>
    <w:pPr>
      <w:spacing w:before="300" w:after="0" w:line="240" w:lineRule="auto"/>
      <w:textAlignment w:val="top"/>
      <w:outlineLvl w:val="1"/>
    </w:pPr>
    <w:rPr>
      <w:rFonts w:ascii="Trebuchet MS" w:eastAsia="Times New Roman" w:hAnsi="Trebuchet MS" w:cs="Times New Roman"/>
      <w:color w:val="99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6A1A"/>
    <w:rPr>
      <w:rFonts w:ascii="Trebuchet MS" w:eastAsia="Times New Roman" w:hAnsi="Trebuchet MS" w:cs="Times New Roman"/>
      <w:color w:val="999966"/>
      <w:kern w:val="3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186A1A"/>
    <w:rPr>
      <w:rFonts w:ascii="Trebuchet MS" w:eastAsia="Times New Roman" w:hAnsi="Trebuchet MS" w:cs="Times New Roman"/>
      <w:color w:val="990000"/>
    </w:rPr>
  </w:style>
  <w:style w:type="character" w:styleId="Hyperlink">
    <w:name w:val="Hyperlink"/>
    <w:basedOn w:val="DefaultParagraphFont"/>
    <w:uiPriority w:val="99"/>
    <w:semiHidden/>
    <w:unhideWhenUsed/>
    <w:rsid w:val="00186A1A"/>
    <w:rPr>
      <w:rFonts w:ascii="Trebuchet MS" w:hAnsi="Trebuchet MS" w:hint="default"/>
      <w:b w:val="0"/>
      <w:bCs w:val="0"/>
      <w:i w:val="0"/>
      <w:iCs w:val="0"/>
      <w:strike w:val="0"/>
      <w:dstrike w:val="0"/>
      <w:color w:val="3333FF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186A1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86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C3C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8583">
          <w:marLeft w:val="0"/>
          <w:marRight w:val="0"/>
          <w:marTop w:val="0"/>
          <w:marBottom w:val="0"/>
          <w:divBdr>
            <w:top w:val="single" w:sz="6" w:space="8" w:color="3333FF"/>
            <w:left w:val="single" w:sz="6" w:space="11" w:color="3333FF"/>
            <w:bottom w:val="single" w:sz="6" w:space="15" w:color="3333FF"/>
            <w:right w:val="single" w:sz="6" w:space="11" w:color="3333FF"/>
          </w:divBdr>
        </w:div>
      </w:divsChild>
    </w:div>
    <w:div w:id="9029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69227">
          <w:marLeft w:val="0"/>
          <w:marRight w:val="0"/>
          <w:marTop w:val="0"/>
          <w:marBottom w:val="0"/>
          <w:divBdr>
            <w:top w:val="single" w:sz="6" w:space="8" w:color="3333FF"/>
            <w:left w:val="single" w:sz="6" w:space="11" w:color="3333FF"/>
            <w:bottom w:val="single" w:sz="6" w:space="15" w:color="3333FF"/>
            <w:right w:val="single" w:sz="6" w:space="11" w:color="3333FF"/>
          </w:divBdr>
        </w:div>
      </w:divsChild>
    </w:div>
    <w:div w:id="17712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312521">
          <w:marLeft w:val="0"/>
          <w:marRight w:val="0"/>
          <w:marTop w:val="0"/>
          <w:marBottom w:val="0"/>
          <w:divBdr>
            <w:top w:val="single" w:sz="6" w:space="8" w:color="3333FF"/>
            <w:left w:val="single" w:sz="6" w:space="11" w:color="3333FF"/>
            <w:bottom w:val="single" w:sz="6" w:space="15" w:color="3333FF"/>
            <w:right w:val="single" w:sz="6" w:space="11" w:color="3333FF"/>
          </w:divBdr>
        </w:div>
      </w:divsChild>
    </w:div>
    <w:div w:id="17769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095371">
          <w:marLeft w:val="0"/>
          <w:marRight w:val="0"/>
          <w:marTop w:val="0"/>
          <w:marBottom w:val="0"/>
          <w:divBdr>
            <w:top w:val="single" w:sz="6" w:space="8" w:color="3333FF"/>
            <w:left w:val="single" w:sz="6" w:space="11" w:color="3333FF"/>
            <w:bottom w:val="single" w:sz="6" w:space="15" w:color="3333FF"/>
            <w:right w:val="single" w:sz="6" w:space="11" w:color="3333FF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trek.com/Help/Glossary.aspx?Target=Strat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tattrek.com/Help/Glossary.aspx?Target=Stratified_sampl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tattrek.com/Help/Glossary.aspx?Target=Simple_random_samplin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stattrek.com/Help/Glossary.aspx?Target=Precision" TargetMode="External"/><Relationship Id="rId10" Type="http://schemas.openxmlformats.org/officeDocument/2006/relationships/hyperlink" Target="http://stattrek.com/Help/Glossary.aspx?Target=Heterogeneo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attrek.com/Help/Glossary.aspx?Target=Homogeneo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I.U.B.R.Y.K</Company>
  <LinksUpToDate>false</LinksUpToDate>
  <CharactersWithSpaces>3796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Syed Shakir Ali</cp:lastModifiedBy>
  <cp:revision>2</cp:revision>
  <dcterms:created xsi:type="dcterms:W3CDTF">2020-03-24T20:27:00Z</dcterms:created>
  <dcterms:modified xsi:type="dcterms:W3CDTF">2020-03-24T20:27:00Z</dcterms:modified>
</cp:coreProperties>
</file>